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FE" w:rsidRDefault="00965D8E" w:rsidP="00965D8E">
      <w:pPr>
        <w:jc w:val="center"/>
        <w:rPr>
          <w:rFonts w:ascii="Bodoni MT Black" w:hAnsi="Bodoni MT Black"/>
          <w:b/>
        </w:rPr>
      </w:pPr>
      <w:r>
        <w:rPr>
          <w:noProof/>
          <w:lang w:eastAsia="en-PH"/>
        </w:rPr>
        <w:drawing>
          <wp:anchor distT="0" distB="0" distL="114300" distR="114300" simplePos="0" relativeHeight="251658240" behindDoc="1" locked="0" layoutInCell="1" allowOverlap="1">
            <wp:simplePos x="0" y="0"/>
            <wp:positionH relativeFrom="column">
              <wp:posOffset>-361950</wp:posOffset>
            </wp:positionH>
            <wp:positionV relativeFrom="paragraph">
              <wp:posOffset>-847725</wp:posOffset>
            </wp:positionV>
            <wp:extent cx="6915150" cy="2105025"/>
            <wp:effectExtent l="19050" t="0" r="0" b="9525"/>
            <wp:wrapTight wrapText="bothSides">
              <wp:wrapPolygon edited="0">
                <wp:start x="-60" y="0"/>
                <wp:lineTo x="-60" y="21698"/>
                <wp:lineTo x="21600" y="21698"/>
                <wp:lineTo x="21600" y="0"/>
                <wp:lineTo x="-60" y="0"/>
              </wp:wrapPolygon>
            </wp:wrapTight>
            <wp:docPr id="1" name="Picture 0" descr="T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OR.png"/>
                    <pic:cNvPicPr/>
                  </pic:nvPicPr>
                  <pic:blipFill>
                    <a:blip r:embed="rId4"/>
                    <a:stretch>
                      <a:fillRect/>
                    </a:stretch>
                  </pic:blipFill>
                  <pic:spPr>
                    <a:xfrm>
                      <a:off x="0" y="0"/>
                      <a:ext cx="6915150" cy="2105025"/>
                    </a:xfrm>
                    <a:prstGeom prst="rect">
                      <a:avLst/>
                    </a:prstGeom>
                  </pic:spPr>
                </pic:pic>
              </a:graphicData>
            </a:graphic>
          </wp:anchor>
        </w:drawing>
      </w:r>
      <w:r>
        <w:rPr>
          <w:rFonts w:ascii="Bodoni MT Black" w:hAnsi="Bodoni MT Black"/>
          <w:b/>
        </w:rPr>
        <w:t>COMMUNIQUE</w:t>
      </w:r>
    </w:p>
    <w:p w:rsidR="00965D8E" w:rsidRDefault="00965D8E" w:rsidP="00965D8E">
      <w:pPr>
        <w:pStyle w:val="NoSpacing"/>
        <w:jc w:val="center"/>
        <w:rPr>
          <w:rFonts w:ascii="Bodoni MT Black" w:hAnsi="Bodoni MT Black"/>
          <w:b/>
          <w:sz w:val="28"/>
          <w:szCs w:val="28"/>
        </w:rPr>
      </w:pPr>
      <w:r w:rsidRPr="00965D8E">
        <w:rPr>
          <w:rFonts w:ascii="Bodoni MT Black" w:hAnsi="Bodoni MT Black"/>
          <w:b/>
          <w:sz w:val="28"/>
          <w:szCs w:val="28"/>
        </w:rPr>
        <w:t>“CALL FOR ACTION”</w:t>
      </w:r>
    </w:p>
    <w:p w:rsidR="00965D8E" w:rsidRPr="00965D8E" w:rsidRDefault="00965D8E" w:rsidP="00965D8E">
      <w:pPr>
        <w:pStyle w:val="NoSpacing"/>
        <w:jc w:val="center"/>
        <w:rPr>
          <w:rFonts w:ascii="Book Antiqua" w:hAnsi="Book Antiqua"/>
          <w:b/>
          <w:i/>
          <w:sz w:val="20"/>
          <w:szCs w:val="20"/>
        </w:rPr>
      </w:pPr>
      <w:r w:rsidRPr="00965D8E">
        <w:rPr>
          <w:rFonts w:ascii="Book Antiqua" w:hAnsi="Book Antiqua"/>
          <w:b/>
          <w:i/>
          <w:sz w:val="20"/>
          <w:szCs w:val="20"/>
        </w:rPr>
        <w:t xml:space="preserve">Joint Statement of the Association of </w:t>
      </w:r>
      <w:proofErr w:type="spellStart"/>
      <w:r w:rsidRPr="00965D8E">
        <w:rPr>
          <w:rFonts w:ascii="Book Antiqua" w:hAnsi="Book Antiqua"/>
          <w:b/>
          <w:i/>
          <w:sz w:val="20"/>
          <w:szCs w:val="20"/>
        </w:rPr>
        <w:t>Transgenders</w:t>
      </w:r>
      <w:proofErr w:type="spellEnd"/>
      <w:r w:rsidRPr="00965D8E">
        <w:rPr>
          <w:rFonts w:ascii="Book Antiqua" w:hAnsi="Book Antiqua"/>
          <w:b/>
          <w:i/>
          <w:sz w:val="20"/>
          <w:szCs w:val="20"/>
        </w:rPr>
        <w:t xml:space="preserve"> in the Philippines &amp; </w:t>
      </w:r>
      <w:proofErr w:type="spellStart"/>
      <w:r w:rsidRPr="00965D8E">
        <w:rPr>
          <w:rFonts w:ascii="Book Antiqua" w:hAnsi="Book Antiqua"/>
          <w:b/>
          <w:i/>
          <w:sz w:val="20"/>
          <w:szCs w:val="20"/>
        </w:rPr>
        <w:t>Transman</w:t>
      </w:r>
      <w:proofErr w:type="spellEnd"/>
      <w:r w:rsidRPr="00965D8E">
        <w:rPr>
          <w:rFonts w:ascii="Book Antiqua" w:hAnsi="Book Antiqua"/>
          <w:b/>
          <w:i/>
          <w:sz w:val="20"/>
          <w:szCs w:val="20"/>
        </w:rPr>
        <w:t xml:space="preserve"> </w:t>
      </w:r>
      <w:proofErr w:type="spellStart"/>
      <w:r w:rsidRPr="00965D8E">
        <w:rPr>
          <w:rFonts w:ascii="Book Antiqua" w:hAnsi="Book Antiqua"/>
          <w:b/>
          <w:i/>
          <w:sz w:val="20"/>
          <w:szCs w:val="20"/>
        </w:rPr>
        <w:t>Pilipinas</w:t>
      </w:r>
      <w:proofErr w:type="spellEnd"/>
    </w:p>
    <w:p w:rsidR="00965D8E" w:rsidRPr="00965D8E" w:rsidRDefault="00F93109" w:rsidP="00965D8E">
      <w:pPr>
        <w:pStyle w:val="NoSpacing"/>
        <w:jc w:val="center"/>
        <w:rPr>
          <w:rFonts w:ascii="Book Antiqua" w:hAnsi="Book Antiqua"/>
          <w:b/>
          <w:i/>
          <w:sz w:val="20"/>
          <w:szCs w:val="20"/>
        </w:rPr>
      </w:pPr>
      <w:proofErr w:type="gramStart"/>
      <w:r>
        <w:rPr>
          <w:rFonts w:ascii="Book Antiqua" w:hAnsi="Book Antiqua"/>
          <w:b/>
          <w:i/>
          <w:sz w:val="20"/>
          <w:szCs w:val="20"/>
        </w:rPr>
        <w:t>o</w:t>
      </w:r>
      <w:r w:rsidR="00965D8E" w:rsidRPr="00965D8E">
        <w:rPr>
          <w:rFonts w:ascii="Book Antiqua" w:hAnsi="Book Antiqua"/>
          <w:b/>
          <w:i/>
          <w:sz w:val="20"/>
          <w:szCs w:val="20"/>
        </w:rPr>
        <w:t>n</w:t>
      </w:r>
      <w:proofErr w:type="gramEnd"/>
      <w:r w:rsidR="00965D8E" w:rsidRPr="00965D8E">
        <w:rPr>
          <w:rFonts w:ascii="Book Antiqua" w:hAnsi="Book Antiqua"/>
          <w:b/>
          <w:i/>
          <w:sz w:val="20"/>
          <w:szCs w:val="20"/>
        </w:rPr>
        <w:t xml:space="preserve"> the Occasion of the Transgender Day of Remembrance</w:t>
      </w:r>
    </w:p>
    <w:p w:rsidR="00965D8E" w:rsidRPr="00965D8E" w:rsidRDefault="00965D8E" w:rsidP="00965D8E">
      <w:pPr>
        <w:pStyle w:val="NoSpacing"/>
        <w:jc w:val="center"/>
        <w:rPr>
          <w:rFonts w:ascii="Book Antiqua" w:hAnsi="Book Antiqua"/>
          <w:b/>
          <w:i/>
          <w:sz w:val="20"/>
          <w:szCs w:val="20"/>
        </w:rPr>
      </w:pPr>
      <w:r w:rsidRPr="00965D8E">
        <w:rPr>
          <w:rFonts w:ascii="Book Antiqua" w:hAnsi="Book Antiqua"/>
          <w:b/>
          <w:i/>
          <w:sz w:val="20"/>
          <w:szCs w:val="20"/>
        </w:rPr>
        <w:t>November 20</w:t>
      </w:r>
      <w:r w:rsidRPr="00965D8E">
        <w:rPr>
          <w:rFonts w:ascii="Book Antiqua" w:hAnsi="Book Antiqua"/>
          <w:b/>
          <w:i/>
          <w:sz w:val="20"/>
          <w:szCs w:val="20"/>
          <w:vertAlign w:val="superscript"/>
        </w:rPr>
        <w:t>th</w:t>
      </w:r>
      <w:r w:rsidRPr="00965D8E">
        <w:rPr>
          <w:rFonts w:ascii="Book Antiqua" w:hAnsi="Book Antiqua"/>
          <w:b/>
          <w:i/>
          <w:sz w:val="20"/>
          <w:szCs w:val="20"/>
        </w:rPr>
        <w:t>, 2013</w:t>
      </w:r>
    </w:p>
    <w:p w:rsidR="00965D8E" w:rsidRDefault="00965D8E" w:rsidP="00965D8E">
      <w:pPr>
        <w:pStyle w:val="NoSpacing"/>
        <w:rPr>
          <w:rFonts w:ascii="Book Antiqua" w:hAnsi="Book Antiqua"/>
          <w:i/>
          <w:sz w:val="20"/>
          <w:szCs w:val="20"/>
        </w:rPr>
      </w:pPr>
    </w:p>
    <w:p w:rsidR="00965D8E" w:rsidRDefault="00965D8E" w:rsidP="0054001C">
      <w:pPr>
        <w:pStyle w:val="NoSpacing"/>
        <w:jc w:val="both"/>
        <w:rPr>
          <w:rFonts w:ascii="Book Antiqua" w:hAnsi="Book Antiqua"/>
          <w:b/>
          <w:i/>
          <w:sz w:val="20"/>
          <w:szCs w:val="20"/>
        </w:rPr>
      </w:pPr>
      <w:r>
        <w:rPr>
          <w:rFonts w:ascii="Californian FB" w:hAnsi="Californian FB"/>
          <w:b/>
          <w:i/>
          <w:sz w:val="20"/>
          <w:szCs w:val="20"/>
        </w:rPr>
        <w:tab/>
      </w:r>
      <w:r>
        <w:rPr>
          <w:rFonts w:ascii="Book Antiqua" w:hAnsi="Book Antiqua"/>
          <w:b/>
          <w:i/>
          <w:sz w:val="20"/>
          <w:szCs w:val="20"/>
        </w:rPr>
        <w:t xml:space="preserve">The men and women of the Association of </w:t>
      </w:r>
      <w:proofErr w:type="spellStart"/>
      <w:r>
        <w:rPr>
          <w:rFonts w:ascii="Book Antiqua" w:hAnsi="Book Antiqua"/>
          <w:b/>
          <w:i/>
          <w:sz w:val="20"/>
          <w:szCs w:val="20"/>
        </w:rPr>
        <w:t>Transgenders</w:t>
      </w:r>
      <w:proofErr w:type="spellEnd"/>
      <w:r>
        <w:rPr>
          <w:rFonts w:ascii="Book Antiqua" w:hAnsi="Book Antiqua"/>
          <w:b/>
          <w:i/>
          <w:sz w:val="20"/>
          <w:szCs w:val="20"/>
        </w:rPr>
        <w:t xml:space="preserve"> in the Philippines and </w:t>
      </w:r>
      <w:proofErr w:type="spellStart"/>
      <w:r>
        <w:rPr>
          <w:rFonts w:ascii="Book Antiqua" w:hAnsi="Book Antiqua"/>
          <w:b/>
          <w:i/>
          <w:sz w:val="20"/>
          <w:szCs w:val="20"/>
        </w:rPr>
        <w:t>Transman</w:t>
      </w:r>
      <w:proofErr w:type="spellEnd"/>
      <w:r>
        <w:rPr>
          <w:rFonts w:ascii="Book Antiqua" w:hAnsi="Book Antiqua"/>
          <w:b/>
          <w:i/>
          <w:sz w:val="20"/>
          <w:szCs w:val="20"/>
        </w:rPr>
        <w:t xml:space="preserve"> </w:t>
      </w:r>
      <w:proofErr w:type="spellStart"/>
      <w:r>
        <w:rPr>
          <w:rFonts w:ascii="Book Antiqua" w:hAnsi="Book Antiqua"/>
          <w:b/>
          <w:i/>
          <w:sz w:val="20"/>
          <w:szCs w:val="20"/>
        </w:rPr>
        <w:t>Pilipinas</w:t>
      </w:r>
      <w:proofErr w:type="spellEnd"/>
      <w:r>
        <w:rPr>
          <w:rFonts w:ascii="Book Antiqua" w:hAnsi="Book Antiqua"/>
          <w:b/>
          <w:i/>
          <w:sz w:val="20"/>
          <w:szCs w:val="20"/>
        </w:rPr>
        <w:t xml:space="preserve"> express solidarity with the rest of the transgender community in celebrating this year’s “Transgender Day of Remembrance (TDOR)”. ATP and TMP stand committed to fighting all forms of gender-based violence and discrimination. As men and women of conscience, </w:t>
      </w:r>
      <w:r w:rsidR="0054001C">
        <w:rPr>
          <w:rFonts w:ascii="Book Antiqua" w:hAnsi="Book Antiqua"/>
          <w:b/>
          <w:i/>
          <w:sz w:val="20"/>
          <w:szCs w:val="20"/>
        </w:rPr>
        <w:t xml:space="preserve">we reject </w:t>
      </w:r>
      <w:proofErr w:type="spellStart"/>
      <w:r w:rsidR="0054001C">
        <w:rPr>
          <w:rFonts w:ascii="Book Antiqua" w:hAnsi="Book Antiqua"/>
          <w:b/>
          <w:i/>
          <w:sz w:val="20"/>
          <w:szCs w:val="20"/>
        </w:rPr>
        <w:t>transphobia</w:t>
      </w:r>
      <w:proofErr w:type="spellEnd"/>
      <w:r w:rsidR="0054001C">
        <w:rPr>
          <w:rFonts w:ascii="Book Antiqua" w:hAnsi="Book Antiqua"/>
          <w:b/>
          <w:i/>
          <w:sz w:val="20"/>
          <w:szCs w:val="20"/>
        </w:rPr>
        <w:t xml:space="preserve"> and hate crimes. </w:t>
      </w:r>
    </w:p>
    <w:p w:rsidR="0054001C" w:rsidRDefault="0054001C" w:rsidP="0054001C">
      <w:pPr>
        <w:pStyle w:val="NoSpacing"/>
        <w:jc w:val="both"/>
        <w:rPr>
          <w:rFonts w:ascii="Book Antiqua" w:hAnsi="Book Antiqua"/>
          <w:b/>
          <w:i/>
          <w:sz w:val="20"/>
          <w:szCs w:val="20"/>
        </w:rPr>
      </w:pPr>
      <w:r>
        <w:rPr>
          <w:rFonts w:ascii="Book Antiqua" w:hAnsi="Book Antiqua"/>
          <w:b/>
          <w:i/>
          <w:sz w:val="20"/>
          <w:szCs w:val="20"/>
        </w:rPr>
        <w:tab/>
        <w:t>Over the years, much attention has focused on tackling gender-based violence and hate crimes. More recently, we have become increasingly concerned and alarmed with the prevalence of hate crimes and the unabated incidents of killings of individuals because of their gender identity and sexual orientation. Overtime, transgender individuals have become more vulnerable than ever to a wide range of human rights atrocities and similar violations including rape and at times, even arbitrary detention.</w:t>
      </w:r>
    </w:p>
    <w:p w:rsidR="0054001C" w:rsidRDefault="0054001C" w:rsidP="0054001C">
      <w:pPr>
        <w:pStyle w:val="NoSpacing"/>
        <w:jc w:val="both"/>
        <w:rPr>
          <w:rFonts w:ascii="Book Antiqua" w:hAnsi="Book Antiqua"/>
          <w:b/>
          <w:i/>
          <w:sz w:val="20"/>
          <w:szCs w:val="20"/>
        </w:rPr>
      </w:pPr>
      <w:r>
        <w:rPr>
          <w:rFonts w:ascii="Book Antiqua" w:hAnsi="Book Antiqua"/>
          <w:b/>
          <w:i/>
          <w:sz w:val="20"/>
          <w:szCs w:val="20"/>
        </w:rPr>
        <w:tab/>
        <w:t xml:space="preserve">The sorry state of transgender individuals all over the world can also be credited to a series of state-sanctioned oppression and repression. The absence of institutionalized mechanisms to protect transgender people </w:t>
      </w:r>
      <w:r w:rsidR="00F93109">
        <w:rPr>
          <w:rFonts w:ascii="Book Antiqua" w:hAnsi="Book Antiqua"/>
          <w:b/>
          <w:i/>
          <w:sz w:val="20"/>
          <w:szCs w:val="20"/>
        </w:rPr>
        <w:t>exposes</w:t>
      </w:r>
      <w:r>
        <w:rPr>
          <w:rFonts w:ascii="Book Antiqua" w:hAnsi="Book Antiqua"/>
          <w:b/>
          <w:i/>
          <w:sz w:val="20"/>
          <w:szCs w:val="20"/>
        </w:rPr>
        <w:t xml:space="preserve"> them to higher risks of arrests, imprisonment and worst, death or execution. This is particularly true for those who are engaged in sex work. The issue of </w:t>
      </w:r>
      <w:proofErr w:type="gramStart"/>
      <w:r>
        <w:rPr>
          <w:rFonts w:ascii="Book Antiqua" w:hAnsi="Book Antiqua"/>
          <w:b/>
          <w:i/>
          <w:sz w:val="20"/>
          <w:szCs w:val="20"/>
        </w:rPr>
        <w:t>trans</w:t>
      </w:r>
      <w:proofErr w:type="gramEnd"/>
      <w:r>
        <w:rPr>
          <w:rFonts w:ascii="Book Antiqua" w:hAnsi="Book Antiqua"/>
          <w:b/>
          <w:i/>
          <w:sz w:val="20"/>
          <w:szCs w:val="20"/>
        </w:rPr>
        <w:t xml:space="preserve"> health husbands the equally important issue of trans empowerment.</w:t>
      </w:r>
    </w:p>
    <w:p w:rsidR="00F93109" w:rsidRDefault="00F93109" w:rsidP="0054001C">
      <w:pPr>
        <w:pStyle w:val="NoSpacing"/>
        <w:jc w:val="both"/>
        <w:rPr>
          <w:rFonts w:ascii="Book Antiqua" w:hAnsi="Book Antiqua"/>
          <w:b/>
          <w:i/>
          <w:sz w:val="20"/>
          <w:szCs w:val="20"/>
        </w:rPr>
      </w:pPr>
      <w:r>
        <w:rPr>
          <w:rFonts w:ascii="Book Antiqua" w:hAnsi="Book Antiqua"/>
          <w:b/>
          <w:i/>
          <w:sz w:val="20"/>
          <w:szCs w:val="20"/>
        </w:rPr>
        <w:tab/>
        <w:t xml:space="preserve">The Association of </w:t>
      </w:r>
      <w:proofErr w:type="spellStart"/>
      <w:r>
        <w:rPr>
          <w:rFonts w:ascii="Book Antiqua" w:hAnsi="Book Antiqua"/>
          <w:b/>
          <w:i/>
          <w:sz w:val="20"/>
          <w:szCs w:val="20"/>
        </w:rPr>
        <w:t>Transgenders</w:t>
      </w:r>
      <w:proofErr w:type="spellEnd"/>
      <w:r>
        <w:rPr>
          <w:rFonts w:ascii="Book Antiqua" w:hAnsi="Book Antiqua"/>
          <w:b/>
          <w:i/>
          <w:sz w:val="20"/>
          <w:szCs w:val="20"/>
        </w:rPr>
        <w:t xml:space="preserve"> in the Philippines and its allies would like to speak out—calling for a more vigorous worldwide response against </w:t>
      </w:r>
      <w:proofErr w:type="spellStart"/>
      <w:r>
        <w:rPr>
          <w:rFonts w:ascii="Book Antiqua" w:hAnsi="Book Antiqua"/>
          <w:b/>
          <w:i/>
          <w:sz w:val="20"/>
          <w:szCs w:val="20"/>
        </w:rPr>
        <w:t>transphobia</w:t>
      </w:r>
      <w:proofErr w:type="spellEnd"/>
      <w:r>
        <w:rPr>
          <w:rFonts w:ascii="Book Antiqua" w:hAnsi="Book Antiqua"/>
          <w:b/>
          <w:i/>
          <w:sz w:val="20"/>
          <w:szCs w:val="20"/>
        </w:rPr>
        <w:t xml:space="preserve">. We call to reinforce and strengthen measures to protect transgender individuals from any forms of violence. The eventual passage of the Anti-Discrimination Bill pending in Philippine Congress would pave the way for a more formidable approach aimed at combating any </w:t>
      </w:r>
      <w:r w:rsidR="004271E0">
        <w:rPr>
          <w:rFonts w:ascii="Book Antiqua" w:hAnsi="Book Antiqua"/>
          <w:b/>
          <w:i/>
          <w:sz w:val="20"/>
          <w:szCs w:val="20"/>
        </w:rPr>
        <w:t>infractions of</w:t>
      </w:r>
      <w:r>
        <w:rPr>
          <w:rFonts w:ascii="Book Antiqua" w:hAnsi="Book Antiqua"/>
          <w:b/>
          <w:i/>
          <w:sz w:val="20"/>
          <w:szCs w:val="20"/>
        </w:rPr>
        <w:t xml:space="preserve"> transgender rights</w:t>
      </w:r>
      <w:r w:rsidR="005A6A55">
        <w:rPr>
          <w:rFonts w:ascii="Book Antiqua" w:hAnsi="Book Antiqua"/>
          <w:b/>
          <w:i/>
          <w:sz w:val="20"/>
          <w:szCs w:val="20"/>
        </w:rPr>
        <w:t xml:space="preserve"> and LGBT rights</w:t>
      </w:r>
      <w:r>
        <w:rPr>
          <w:rFonts w:ascii="Book Antiqua" w:hAnsi="Book Antiqua"/>
          <w:b/>
          <w:i/>
          <w:sz w:val="20"/>
          <w:szCs w:val="20"/>
        </w:rPr>
        <w:t xml:space="preserve">. We call for the introduction of the Gender-recognition legislation in Congress that would grant </w:t>
      </w:r>
      <w:r w:rsidR="004271E0">
        <w:rPr>
          <w:rFonts w:ascii="Book Antiqua" w:hAnsi="Book Antiqua"/>
          <w:b/>
          <w:i/>
          <w:sz w:val="20"/>
          <w:szCs w:val="20"/>
        </w:rPr>
        <w:t xml:space="preserve">corresponding protection and rights to transgender people. </w:t>
      </w:r>
    </w:p>
    <w:p w:rsidR="004271E0" w:rsidRDefault="004271E0" w:rsidP="0054001C">
      <w:pPr>
        <w:pStyle w:val="NoSpacing"/>
        <w:jc w:val="both"/>
        <w:rPr>
          <w:rFonts w:ascii="Book Antiqua" w:hAnsi="Book Antiqua"/>
          <w:b/>
          <w:i/>
          <w:sz w:val="20"/>
          <w:szCs w:val="20"/>
        </w:rPr>
      </w:pPr>
      <w:r>
        <w:rPr>
          <w:rFonts w:ascii="Book Antiqua" w:hAnsi="Book Antiqua"/>
          <w:b/>
          <w:i/>
          <w:sz w:val="20"/>
          <w:szCs w:val="20"/>
        </w:rPr>
        <w:tab/>
        <w:t xml:space="preserve">Furthermore, we believe that </w:t>
      </w:r>
      <w:proofErr w:type="spellStart"/>
      <w:r>
        <w:rPr>
          <w:rFonts w:ascii="Book Antiqua" w:hAnsi="Book Antiqua"/>
          <w:b/>
          <w:i/>
          <w:sz w:val="20"/>
          <w:szCs w:val="20"/>
        </w:rPr>
        <w:t>transphobia</w:t>
      </w:r>
      <w:proofErr w:type="spellEnd"/>
      <w:r>
        <w:rPr>
          <w:rFonts w:ascii="Book Antiqua" w:hAnsi="Book Antiqua"/>
          <w:b/>
          <w:i/>
          <w:sz w:val="20"/>
          <w:szCs w:val="20"/>
        </w:rPr>
        <w:t xml:space="preserve"> perpetuates stigma and contributes to a culture of intolerance and hatred. We therefore, urge the Philippine government, and all other states, to take steps to help eliminate </w:t>
      </w:r>
      <w:proofErr w:type="spellStart"/>
      <w:r>
        <w:rPr>
          <w:rFonts w:ascii="Book Antiqua" w:hAnsi="Book Antiqua"/>
          <w:b/>
          <w:i/>
          <w:sz w:val="20"/>
          <w:szCs w:val="20"/>
        </w:rPr>
        <w:t>transphobia</w:t>
      </w:r>
      <w:proofErr w:type="spellEnd"/>
      <w:r>
        <w:rPr>
          <w:rFonts w:ascii="Book Antiqua" w:hAnsi="Book Antiqua"/>
          <w:b/>
          <w:i/>
          <w:sz w:val="20"/>
          <w:szCs w:val="20"/>
        </w:rPr>
        <w:t xml:space="preserve"> and gender-based violence wherever it may be. We urge further, that all governments must take affirmative action to ensuring that social and legal frameworks are established to foster respect for transgender rights as part of human rights. In the words of US Vice-President Joe </w:t>
      </w:r>
      <w:proofErr w:type="gramStart"/>
      <w:r>
        <w:rPr>
          <w:rFonts w:ascii="Book Antiqua" w:hAnsi="Book Antiqua"/>
          <w:b/>
          <w:i/>
          <w:sz w:val="20"/>
          <w:szCs w:val="20"/>
        </w:rPr>
        <w:t>Biden :</w:t>
      </w:r>
      <w:proofErr w:type="gramEnd"/>
      <w:r>
        <w:rPr>
          <w:rFonts w:ascii="Book Antiqua" w:hAnsi="Book Antiqua"/>
          <w:b/>
          <w:i/>
          <w:sz w:val="20"/>
          <w:szCs w:val="20"/>
        </w:rPr>
        <w:t xml:space="preserve"> “ </w:t>
      </w:r>
      <w:r w:rsidRPr="004271E0">
        <w:rPr>
          <w:rFonts w:ascii="Book Antiqua" w:hAnsi="Book Antiqua"/>
          <w:b/>
          <w:i/>
          <w:sz w:val="20"/>
          <w:szCs w:val="20"/>
          <w:u w:val="single"/>
        </w:rPr>
        <w:t>Transgender discrimination is the civil rights issue of our times</w:t>
      </w:r>
      <w:r>
        <w:rPr>
          <w:rFonts w:ascii="Book Antiqua" w:hAnsi="Book Antiqua"/>
          <w:b/>
          <w:i/>
          <w:sz w:val="20"/>
          <w:szCs w:val="20"/>
        </w:rPr>
        <w:t>”.</w:t>
      </w:r>
    </w:p>
    <w:p w:rsidR="004271E0" w:rsidRDefault="004271E0" w:rsidP="0054001C">
      <w:pPr>
        <w:pStyle w:val="NoSpacing"/>
        <w:jc w:val="both"/>
        <w:rPr>
          <w:rFonts w:ascii="Book Antiqua" w:hAnsi="Book Antiqua"/>
          <w:b/>
          <w:i/>
          <w:sz w:val="20"/>
          <w:szCs w:val="20"/>
        </w:rPr>
      </w:pPr>
      <w:r>
        <w:rPr>
          <w:rFonts w:ascii="Book Antiqua" w:hAnsi="Book Antiqua"/>
          <w:b/>
          <w:i/>
          <w:sz w:val="20"/>
          <w:szCs w:val="20"/>
        </w:rPr>
        <w:tab/>
        <w:t xml:space="preserve">Today, as we </w:t>
      </w:r>
      <w:proofErr w:type="spellStart"/>
      <w:r>
        <w:rPr>
          <w:rFonts w:ascii="Book Antiqua" w:hAnsi="Book Antiqua"/>
          <w:b/>
          <w:i/>
          <w:sz w:val="20"/>
          <w:szCs w:val="20"/>
        </w:rPr>
        <w:t>honor</w:t>
      </w:r>
      <w:proofErr w:type="spellEnd"/>
      <w:r>
        <w:rPr>
          <w:rFonts w:ascii="Book Antiqua" w:hAnsi="Book Antiqua"/>
          <w:b/>
          <w:i/>
          <w:sz w:val="20"/>
          <w:szCs w:val="20"/>
        </w:rPr>
        <w:t xml:space="preserve"> the memory of all transgender people who have been killed and made victims of gender-based violence and hate crimes, we pause to REFLECT, to REMEMBER and to CONTEMPLATE. The fight for equality continues...</w:t>
      </w:r>
    </w:p>
    <w:p w:rsidR="004271E0" w:rsidRDefault="004271E0" w:rsidP="0054001C">
      <w:pPr>
        <w:pStyle w:val="NoSpacing"/>
        <w:jc w:val="both"/>
        <w:rPr>
          <w:rFonts w:ascii="Book Antiqua" w:hAnsi="Book Antiqua"/>
          <w:b/>
          <w:i/>
          <w:sz w:val="20"/>
          <w:szCs w:val="20"/>
        </w:rPr>
      </w:pPr>
      <w:r>
        <w:rPr>
          <w:rFonts w:ascii="Book Antiqua" w:hAnsi="Book Antiqua"/>
          <w:b/>
          <w:i/>
          <w:sz w:val="20"/>
          <w:szCs w:val="20"/>
        </w:rPr>
        <w:tab/>
        <w:t xml:space="preserve">This is our shared goal; this is our </w:t>
      </w:r>
      <w:r w:rsidR="00CB154C">
        <w:rPr>
          <w:rFonts w:ascii="Book Antiqua" w:hAnsi="Book Antiqua"/>
          <w:b/>
          <w:i/>
          <w:sz w:val="20"/>
          <w:szCs w:val="20"/>
        </w:rPr>
        <w:t>pledge.</w:t>
      </w:r>
    </w:p>
    <w:p w:rsidR="00CB154C" w:rsidRDefault="00CB154C" w:rsidP="0054001C">
      <w:pPr>
        <w:pStyle w:val="NoSpacing"/>
        <w:jc w:val="both"/>
        <w:rPr>
          <w:rFonts w:ascii="Book Antiqua" w:hAnsi="Book Antiqua"/>
          <w:b/>
          <w:i/>
          <w:sz w:val="20"/>
          <w:szCs w:val="20"/>
        </w:rPr>
      </w:pPr>
    </w:p>
    <w:p w:rsidR="00CB154C" w:rsidRDefault="00CB154C" w:rsidP="0054001C">
      <w:pPr>
        <w:pStyle w:val="NoSpacing"/>
        <w:jc w:val="both"/>
        <w:rPr>
          <w:rFonts w:ascii="Book Antiqua" w:hAnsi="Book Antiqua"/>
          <w:b/>
          <w:i/>
          <w:sz w:val="20"/>
          <w:szCs w:val="20"/>
        </w:rPr>
      </w:pPr>
      <w:r>
        <w:rPr>
          <w:rFonts w:ascii="Book Antiqua" w:hAnsi="Book Antiqua"/>
          <w:b/>
          <w:i/>
          <w:sz w:val="20"/>
          <w:szCs w:val="20"/>
        </w:rPr>
        <w:t xml:space="preserve">Association of </w:t>
      </w:r>
      <w:proofErr w:type="spellStart"/>
      <w:r>
        <w:rPr>
          <w:rFonts w:ascii="Book Antiqua" w:hAnsi="Book Antiqua"/>
          <w:b/>
          <w:i/>
          <w:sz w:val="20"/>
          <w:szCs w:val="20"/>
        </w:rPr>
        <w:t>Transgenders</w:t>
      </w:r>
      <w:proofErr w:type="spellEnd"/>
      <w:r>
        <w:rPr>
          <w:rFonts w:ascii="Book Antiqua" w:hAnsi="Book Antiqua"/>
          <w:b/>
          <w:i/>
          <w:sz w:val="20"/>
          <w:szCs w:val="20"/>
        </w:rPr>
        <w:t xml:space="preserve"> in the Philippines (SGD)</w:t>
      </w:r>
    </w:p>
    <w:p w:rsidR="00CB154C" w:rsidRPr="00965D8E" w:rsidRDefault="00CB154C" w:rsidP="0054001C">
      <w:pPr>
        <w:pStyle w:val="NoSpacing"/>
        <w:jc w:val="both"/>
        <w:rPr>
          <w:rFonts w:ascii="Book Antiqua" w:hAnsi="Book Antiqua"/>
          <w:b/>
          <w:i/>
          <w:sz w:val="20"/>
          <w:szCs w:val="20"/>
        </w:rPr>
      </w:pPr>
      <w:proofErr w:type="spellStart"/>
      <w:r>
        <w:rPr>
          <w:rFonts w:ascii="Book Antiqua" w:hAnsi="Book Antiqua"/>
          <w:b/>
          <w:i/>
          <w:sz w:val="20"/>
          <w:szCs w:val="20"/>
        </w:rPr>
        <w:t>Transman</w:t>
      </w:r>
      <w:proofErr w:type="spellEnd"/>
      <w:r>
        <w:rPr>
          <w:rFonts w:ascii="Book Antiqua" w:hAnsi="Book Antiqua"/>
          <w:b/>
          <w:i/>
          <w:sz w:val="20"/>
          <w:szCs w:val="20"/>
        </w:rPr>
        <w:t xml:space="preserve"> </w:t>
      </w:r>
      <w:proofErr w:type="spellStart"/>
      <w:r>
        <w:rPr>
          <w:rFonts w:ascii="Book Antiqua" w:hAnsi="Book Antiqua"/>
          <w:b/>
          <w:i/>
          <w:sz w:val="20"/>
          <w:szCs w:val="20"/>
        </w:rPr>
        <w:t>Pilipinas</w:t>
      </w:r>
      <w:proofErr w:type="spellEnd"/>
      <w:r>
        <w:rPr>
          <w:rFonts w:ascii="Book Antiqua" w:hAnsi="Book Antiqua"/>
          <w:b/>
          <w:i/>
          <w:sz w:val="20"/>
          <w:szCs w:val="20"/>
        </w:rPr>
        <w:t xml:space="preserve"> (SGD)</w:t>
      </w:r>
    </w:p>
    <w:p w:rsidR="00965D8E" w:rsidRPr="00965D8E" w:rsidRDefault="00965D8E" w:rsidP="0054001C">
      <w:pPr>
        <w:pStyle w:val="NoSpacing"/>
        <w:jc w:val="both"/>
        <w:rPr>
          <w:rFonts w:ascii="Book Antiqua" w:hAnsi="Book Antiqua"/>
          <w:i/>
          <w:sz w:val="20"/>
          <w:szCs w:val="20"/>
        </w:rPr>
      </w:pPr>
    </w:p>
    <w:sectPr w:rsidR="00965D8E" w:rsidRPr="00965D8E" w:rsidSect="00FA66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5D8E"/>
    <w:rsid w:val="004271E0"/>
    <w:rsid w:val="0054001C"/>
    <w:rsid w:val="005A6A55"/>
    <w:rsid w:val="00965D8E"/>
    <w:rsid w:val="00CB154C"/>
    <w:rsid w:val="00F93109"/>
    <w:rsid w:val="00FA66FE"/>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6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D8E"/>
    <w:rPr>
      <w:rFonts w:ascii="Tahoma" w:hAnsi="Tahoma" w:cs="Tahoma"/>
      <w:sz w:val="16"/>
      <w:szCs w:val="16"/>
    </w:rPr>
  </w:style>
  <w:style w:type="paragraph" w:styleId="NoSpacing">
    <w:name w:val="No Spacing"/>
    <w:uiPriority w:val="1"/>
    <w:qFormat/>
    <w:rsid w:val="00965D8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2013-11-21T09:00:00Z</dcterms:created>
  <dcterms:modified xsi:type="dcterms:W3CDTF">2013-11-21T09:00:00Z</dcterms:modified>
</cp:coreProperties>
</file>